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D3341A" w14:textId="77777777" w:rsidR="002F57C3" w:rsidRDefault="00000000">
      <w:pPr>
        <w:pStyle w:val="1"/>
        <w:keepNext w:val="0"/>
        <w:keepLines w:val="0"/>
        <w:widowControl w:val="0"/>
      </w:pPr>
      <w:bookmarkStart w:id="0" w:name="_gjdgxs" w:colFirst="0" w:colLast="0"/>
      <w:bookmarkEnd w:id="0"/>
      <w:r>
        <w:t xml:space="preserve">Договор возмездного оказания услуг № </w:t>
      </w:r>
      <w:r>
        <w:rPr>
          <w:color w:val="FF0000"/>
        </w:rPr>
        <w:t>N</w:t>
      </w:r>
      <w:r>
        <w:t xml:space="preserve"> от </w:t>
      </w:r>
      <w:r>
        <w:rPr>
          <w:color w:val="FF0000"/>
        </w:rPr>
        <w:t>ДД.ММ.ГГГГ</w:t>
      </w:r>
      <w:r>
        <w:tab/>
      </w:r>
    </w:p>
    <w:p w14:paraId="6B8287C9" w14:textId="77777777" w:rsidR="002F57C3" w:rsidRDefault="00000000">
      <w:r>
        <w:rPr>
          <w:b/>
        </w:rPr>
        <w:t>Заказчик</w:t>
      </w:r>
      <w:r>
        <w:t xml:space="preserve"> – </w:t>
      </w:r>
      <w:r>
        <w:rPr>
          <w:color w:val="FF0000"/>
        </w:rPr>
        <w:t>ООО «Организация»</w:t>
      </w:r>
      <w:r>
        <w:t xml:space="preserve"> в лице </w:t>
      </w:r>
      <w:r>
        <w:rPr>
          <w:color w:val="FF0000"/>
        </w:rPr>
        <w:t>генерального директора И. И. Иванова</w:t>
      </w:r>
      <w:r>
        <w:t xml:space="preserve">, действующего на основании </w:t>
      </w:r>
      <w:r>
        <w:rPr>
          <w:color w:val="FF0000"/>
        </w:rPr>
        <w:t>устава</w:t>
      </w:r>
      <w:r>
        <w:t xml:space="preserve">. </w:t>
      </w:r>
    </w:p>
    <w:p w14:paraId="09A008A8" w14:textId="77777777" w:rsidR="002F57C3" w:rsidRDefault="00000000">
      <w:r>
        <w:rPr>
          <w:b/>
        </w:rPr>
        <w:t>Исполнитель</w:t>
      </w:r>
      <w:r>
        <w:t xml:space="preserve"> – Индивидуальный предприниматель Е. И. Домнушкин.</w:t>
      </w:r>
    </w:p>
    <w:p w14:paraId="5B78D864" w14:textId="77777777" w:rsidR="002F57C3" w:rsidRDefault="00000000">
      <w:r>
        <w:t xml:space="preserve">Заказчик и исполнитель заключили настоящий договор возмездного оказания услуг (далее – «договор») о нижеследующем. </w:t>
      </w:r>
    </w:p>
    <w:p w14:paraId="4612597B" w14:textId="77777777" w:rsidR="002F57C3" w:rsidRDefault="00000000">
      <w:pPr>
        <w:numPr>
          <w:ilvl w:val="0"/>
          <w:numId w:val="1"/>
        </w:numPr>
      </w:pPr>
      <w:r>
        <w:rPr>
          <w:b/>
        </w:rPr>
        <w:t>Предмет и основные условия договора</w:t>
      </w:r>
    </w:p>
    <w:p w14:paraId="48FFA5C4" w14:textId="77777777" w:rsidR="002F57C3" w:rsidRDefault="00000000">
      <w:pPr>
        <w:numPr>
          <w:ilvl w:val="1"/>
          <w:numId w:val="1"/>
        </w:numPr>
      </w:pPr>
      <w:r>
        <w:t>Исполнитель обязуется по заданию заказчика оказать услуги (совершить определенные действия, согласованные сторонами в приложении к договору), а заказчик обязуется принять и оплатить эти услуги в соответствии с условиями договора и приложений к нему.</w:t>
      </w:r>
    </w:p>
    <w:p w14:paraId="12872121" w14:textId="77777777" w:rsidR="002F57C3" w:rsidRDefault="00000000">
      <w:pPr>
        <w:numPr>
          <w:ilvl w:val="2"/>
          <w:numId w:val="1"/>
        </w:numPr>
        <w:tabs>
          <w:tab w:val="left" w:pos="0"/>
        </w:tabs>
      </w:pPr>
      <w:r>
        <w:t xml:space="preserve">Исполнитель вправе привлекать третьих лиц к исполнению договора. </w:t>
      </w:r>
    </w:p>
    <w:p w14:paraId="650EA90E" w14:textId="77777777" w:rsidR="002F57C3" w:rsidRDefault="00000000">
      <w:pPr>
        <w:numPr>
          <w:ilvl w:val="3"/>
          <w:numId w:val="1"/>
        </w:numPr>
        <w:ind w:left="566" w:hanging="566"/>
      </w:pPr>
      <w:r>
        <w:t xml:space="preserve">Исполнитель несет ответственность за действия лиц, привлеченных к исполнению договора. </w:t>
      </w:r>
    </w:p>
    <w:p w14:paraId="7E787585" w14:textId="77777777" w:rsidR="002F57C3" w:rsidRDefault="00000000">
      <w:pPr>
        <w:numPr>
          <w:ilvl w:val="1"/>
          <w:numId w:val="1"/>
        </w:numPr>
        <w:tabs>
          <w:tab w:val="left" w:pos="0"/>
        </w:tabs>
      </w:pPr>
      <w:r>
        <w:t xml:space="preserve">Договор является смешанным (п. 3 ст. 421 Гражданского кодекса Российской Федерации), поэтому все условия договора распространяются в равной степени на работы, выполняемые исполнителем в </w:t>
      </w:r>
      <w:r>
        <w:rPr>
          <w:highlight w:val="white"/>
        </w:rPr>
        <w:t>целях исполнения договора и приложений к нему.</w:t>
      </w:r>
    </w:p>
    <w:p w14:paraId="6E415DAF" w14:textId="77777777" w:rsidR="002F57C3" w:rsidRDefault="00000000">
      <w:pPr>
        <w:numPr>
          <w:ilvl w:val="1"/>
          <w:numId w:val="1"/>
        </w:numPr>
        <w:tabs>
          <w:tab w:val="left" w:pos="0"/>
        </w:tabs>
        <w:rPr>
          <w:highlight w:val="white"/>
        </w:rPr>
      </w:pPr>
      <w:r>
        <w:rPr>
          <w:highlight w:val="white"/>
        </w:rPr>
        <w:t xml:space="preserve">Если исполнение договора требует предоставления от заказчика материалов, документов, файлов и прочих сведений (далее – «материалы»), то заказчик обязуется предоставить их исполнителю. При этом материалы должны соответствовать требованиям законодательства Российской Федерации. </w:t>
      </w:r>
    </w:p>
    <w:p w14:paraId="5CB3F1D7" w14:textId="77777777" w:rsidR="002F57C3" w:rsidRDefault="00000000">
      <w:pPr>
        <w:numPr>
          <w:ilvl w:val="2"/>
          <w:numId w:val="1"/>
        </w:numPr>
        <w:tabs>
          <w:tab w:val="left" w:pos="0"/>
        </w:tabs>
        <w:rPr>
          <w:highlight w:val="white"/>
        </w:rPr>
      </w:pPr>
      <w:r>
        <w:rPr>
          <w:highlight w:val="white"/>
        </w:rPr>
        <w:t xml:space="preserve">Срок предоставления материалов – до даты начала выполнения этапа оказания услуг или в течение 3 (трех) рабочих дней с даты получения заказчиком запроса от исполнителя (способ – по электронной почте, если иное не согласовано сторонами дополнительно). </w:t>
      </w:r>
    </w:p>
    <w:p w14:paraId="7E51BB44" w14:textId="77777777" w:rsidR="002F57C3" w:rsidRDefault="00000000">
      <w:pPr>
        <w:numPr>
          <w:ilvl w:val="0"/>
          <w:numId w:val="1"/>
        </w:numPr>
        <w:tabs>
          <w:tab w:val="left" w:pos="0"/>
        </w:tabs>
      </w:pPr>
      <w:r>
        <w:rPr>
          <w:b/>
        </w:rPr>
        <w:t>Объекты интеллектуальной деятельности</w:t>
      </w:r>
    </w:p>
    <w:p w14:paraId="208A0AB4" w14:textId="77777777" w:rsidR="002F57C3" w:rsidRDefault="00000000">
      <w:pPr>
        <w:numPr>
          <w:ilvl w:val="1"/>
          <w:numId w:val="1"/>
        </w:numPr>
        <w:tabs>
          <w:tab w:val="left" w:pos="-3"/>
        </w:tabs>
      </w:pPr>
      <w:r>
        <w:t>Если заказчик передает исполнителю результат интеллектуальной деятельности (далее – «РИД»), созданный третьими лицами, заказчик подтверждает и гарантирует правомерность его получения и передачи прав на РИД (с целью оказания услуг по договору) исполнителю.</w:t>
      </w:r>
    </w:p>
    <w:p w14:paraId="6AC95D8D" w14:textId="77777777" w:rsidR="002F57C3" w:rsidRDefault="00000000">
      <w:pPr>
        <w:numPr>
          <w:ilvl w:val="1"/>
          <w:numId w:val="1"/>
        </w:numPr>
        <w:tabs>
          <w:tab w:val="left" w:pos="-3"/>
        </w:tabs>
      </w:pPr>
      <w:r>
        <w:t xml:space="preserve">Если иное не предусмотрено условиями договора и (или) приложением к нему, то: </w:t>
      </w:r>
    </w:p>
    <w:p w14:paraId="4A16D2F9" w14:textId="77777777" w:rsidR="002F57C3" w:rsidRDefault="00000000">
      <w:pPr>
        <w:numPr>
          <w:ilvl w:val="2"/>
          <w:numId w:val="1"/>
        </w:numPr>
        <w:tabs>
          <w:tab w:val="left" w:pos="-3"/>
        </w:tabs>
      </w:pPr>
      <w:r>
        <w:t>исключительное право на РИД, созданный исполнителем по заданию заказчика, переходит к заказчику в момент подписания заказчиком акта сдачи-приемки оказанных услуг (если приложение предусматривает несколько этапов, то после подписания заказчиком акта по последнему этапу);</w:t>
      </w:r>
    </w:p>
    <w:p w14:paraId="68A871E5" w14:textId="77777777" w:rsidR="002F57C3" w:rsidRDefault="00000000">
      <w:pPr>
        <w:numPr>
          <w:ilvl w:val="3"/>
          <w:numId w:val="1"/>
        </w:numPr>
        <w:ind w:left="566" w:hanging="566"/>
      </w:pPr>
      <w:r>
        <w:t>исключительное право (п. 2.2.1. договора) переходит к заказчику без ограничений в правах на использование РИД и территории использования РИД (территории всех стран);</w:t>
      </w:r>
    </w:p>
    <w:p w14:paraId="21265D6C" w14:textId="77777777" w:rsidR="002F57C3" w:rsidRDefault="00000000">
      <w:pPr>
        <w:numPr>
          <w:ilvl w:val="2"/>
          <w:numId w:val="1"/>
        </w:numPr>
        <w:tabs>
          <w:tab w:val="left" w:pos="-3"/>
        </w:tabs>
      </w:pPr>
      <w:r>
        <w:t>в стоимость услуг (п. 4 договора) входит вознаграждение исполнителя за передачу заказчику исключительного права на РИД – 10 % (десять процентов) от цены услуг, предусмотренной п</w:t>
      </w:r>
      <w:r>
        <w:rPr>
          <w:highlight w:val="white"/>
        </w:rPr>
        <w:t>риложением.</w:t>
      </w:r>
    </w:p>
    <w:p w14:paraId="57DABC0B" w14:textId="77777777" w:rsidR="002F57C3" w:rsidRDefault="00000000">
      <w:pPr>
        <w:numPr>
          <w:ilvl w:val="1"/>
          <w:numId w:val="1"/>
        </w:numPr>
        <w:tabs>
          <w:tab w:val="left" w:pos="-3"/>
        </w:tabs>
        <w:rPr>
          <w:highlight w:val="white"/>
        </w:rPr>
      </w:pPr>
      <w:r>
        <w:rPr>
          <w:highlight w:val="white"/>
        </w:rPr>
        <w:t>Если иное не предусмотрено условиями договора и (или) приложением к нему, то исполнитель вправе безвозмездно использовать РИД в качестве примера проекта, в реализации которого исполнитель принимал участие, любыми способами и в том виде, в котором РИД был принят заказчиком.</w:t>
      </w:r>
    </w:p>
    <w:p w14:paraId="7D6CDA98" w14:textId="77777777" w:rsidR="002F57C3" w:rsidRDefault="00000000">
      <w:pPr>
        <w:numPr>
          <w:ilvl w:val="0"/>
          <w:numId w:val="1"/>
        </w:numPr>
        <w:tabs>
          <w:tab w:val="left" w:pos="0"/>
        </w:tabs>
      </w:pPr>
      <w:r>
        <w:rPr>
          <w:b/>
        </w:rPr>
        <w:t>Срок действия договора, его расторжение и отказ от исполнения</w:t>
      </w:r>
    </w:p>
    <w:p w14:paraId="540AE8F0" w14:textId="77777777" w:rsidR="002F57C3" w:rsidRDefault="00000000">
      <w:pPr>
        <w:numPr>
          <w:ilvl w:val="1"/>
          <w:numId w:val="1"/>
        </w:numPr>
        <w:ind w:left="570" w:hanging="570"/>
      </w:pPr>
      <w:r>
        <w:t xml:space="preserve">Договор: </w:t>
      </w:r>
    </w:p>
    <w:p w14:paraId="4197126F" w14:textId="77777777" w:rsidR="002F57C3" w:rsidRDefault="00000000">
      <w:pPr>
        <w:numPr>
          <w:ilvl w:val="2"/>
          <w:numId w:val="1"/>
        </w:numPr>
        <w:ind w:left="570" w:hanging="570"/>
      </w:pPr>
      <w:r>
        <w:t>составлен на русском языке в 2 (двух) экземплярах: по 1 (одному) – для каждой из сторон;</w:t>
      </w:r>
    </w:p>
    <w:p w14:paraId="5BAAFE98" w14:textId="77777777" w:rsidR="002F57C3" w:rsidRDefault="00000000">
      <w:pPr>
        <w:numPr>
          <w:ilvl w:val="2"/>
          <w:numId w:val="1"/>
        </w:numPr>
        <w:ind w:left="570" w:hanging="570"/>
      </w:pPr>
      <w:r>
        <w:t>вступает в силу с даты его подписания и действует до полного исполнения сторонами обязательств по нему.</w:t>
      </w:r>
    </w:p>
    <w:p w14:paraId="49F5F7FE" w14:textId="77777777" w:rsidR="002F57C3" w:rsidRDefault="00000000">
      <w:pPr>
        <w:numPr>
          <w:ilvl w:val="2"/>
          <w:numId w:val="1"/>
        </w:numPr>
        <w:ind w:left="570" w:hanging="570"/>
      </w:pPr>
      <w:r>
        <w:t>может быть расторгнут:</w:t>
      </w:r>
    </w:p>
    <w:p w14:paraId="7C379EE4" w14:textId="77777777" w:rsidR="002F57C3" w:rsidRDefault="00000000">
      <w:pPr>
        <w:numPr>
          <w:ilvl w:val="3"/>
          <w:numId w:val="1"/>
        </w:numPr>
        <w:ind w:left="570" w:hanging="570"/>
      </w:pPr>
      <w:r>
        <w:t>по соглашению сторон путем подписания двустороннего соглашения;</w:t>
      </w:r>
    </w:p>
    <w:p w14:paraId="7CD785F0" w14:textId="77777777" w:rsidR="002F57C3" w:rsidRDefault="00000000">
      <w:pPr>
        <w:numPr>
          <w:ilvl w:val="3"/>
          <w:numId w:val="1"/>
        </w:numPr>
        <w:ind w:left="570" w:hanging="570"/>
      </w:pPr>
      <w:r>
        <w:t>в одностороннем порядке путем направления уведомления (способом, который допускается условиями договора) за 30 (тридцать) дней до планируемой даты расторжения договора;</w:t>
      </w:r>
    </w:p>
    <w:p w14:paraId="733A44CA" w14:textId="77777777" w:rsidR="002F57C3" w:rsidRDefault="00000000">
      <w:pPr>
        <w:numPr>
          <w:ilvl w:val="2"/>
          <w:numId w:val="1"/>
        </w:numPr>
        <w:ind w:left="570" w:hanging="570"/>
      </w:pPr>
      <w:r>
        <w:t>прекращается через 10 (десять) дней после получения стороной уведомления об отказе от исполнения догов</w:t>
      </w:r>
      <w:r>
        <w:rPr>
          <w:highlight w:val="white"/>
        </w:rPr>
        <w:t>ора другой стороной;</w:t>
      </w:r>
    </w:p>
    <w:p w14:paraId="1D6DFC49" w14:textId="77777777" w:rsidR="002F57C3" w:rsidRDefault="00000000">
      <w:pPr>
        <w:numPr>
          <w:ilvl w:val="1"/>
          <w:numId w:val="1"/>
        </w:numPr>
        <w:rPr>
          <w:highlight w:val="white"/>
        </w:rPr>
      </w:pPr>
      <w:r>
        <w:rPr>
          <w:highlight w:val="white"/>
        </w:rPr>
        <w:lastRenderedPageBreak/>
        <w:t>Заказчик соглашается с тем, что вне зависимости от основания и срока направления уведомления при расторжении договора или отказе от его исполнения заказчик обязуется компенсировать исполнителю фактические расходы, которые составляют сумму, не менее 50 % (пятидесяти процентов) от цены услуг, в период оказания которых заказчик расторгнул договор или отказался от его исполнения.</w:t>
      </w:r>
    </w:p>
    <w:p w14:paraId="1F743C96" w14:textId="77777777" w:rsidR="002F57C3" w:rsidRDefault="00000000">
      <w:pPr>
        <w:numPr>
          <w:ilvl w:val="1"/>
          <w:numId w:val="1"/>
        </w:numPr>
        <w:rPr>
          <w:highlight w:val="white"/>
        </w:rPr>
      </w:pPr>
      <w:r>
        <w:rPr>
          <w:highlight w:val="white"/>
        </w:rPr>
        <w:t>Кроме случаев, предусмотренных договором (и не вступая в противоречие с п. 3.1.4. договора), исполнитель имеет право (в соответствии с п.2  ст. 782 ГК РФ) отказаться от исполнения договора в одностороннем порядке, предварительно уведомив заказчика за 10 (десять) дней до предполагаемой даты отказа. В случае, если исполнитель отказывается от исполнения договора, ссылаясь на п. 3.3. договора, применяются положения п. 3.2. договора (в части размера и порядка компенсации расходов исполнителя), а также заказчик соглашается с тем, что вне зависимости от этапа, на котором исполнитель отказывается от исполнения договора, упущенная выгода заказчика возмещению (компенсации) не подлежит.</w:t>
      </w:r>
    </w:p>
    <w:p w14:paraId="49450595" w14:textId="77777777" w:rsidR="002F57C3" w:rsidRDefault="00000000">
      <w:pPr>
        <w:numPr>
          <w:ilvl w:val="0"/>
          <w:numId w:val="1"/>
        </w:numPr>
        <w:rPr>
          <w:highlight w:val="white"/>
        </w:rPr>
      </w:pPr>
      <w:r>
        <w:rPr>
          <w:b/>
          <w:highlight w:val="white"/>
        </w:rPr>
        <w:t>Финансовые условия и сдача-приемка оказанных услуг</w:t>
      </w:r>
    </w:p>
    <w:p w14:paraId="77F3FCB8" w14:textId="77777777" w:rsidR="002F57C3" w:rsidRDefault="00000000">
      <w:pPr>
        <w:numPr>
          <w:ilvl w:val="1"/>
          <w:numId w:val="1"/>
        </w:numPr>
        <w:tabs>
          <w:tab w:val="left" w:pos="0"/>
        </w:tabs>
        <w:rPr>
          <w:highlight w:val="white"/>
        </w:rPr>
      </w:pPr>
      <w:r>
        <w:rPr>
          <w:highlight w:val="white"/>
        </w:rPr>
        <w:t xml:space="preserve">Цена услуг исполнителя: </w:t>
      </w:r>
    </w:p>
    <w:p w14:paraId="663305A5" w14:textId="77777777" w:rsidR="002F57C3" w:rsidRDefault="00000000">
      <w:pPr>
        <w:numPr>
          <w:ilvl w:val="2"/>
          <w:numId w:val="1"/>
        </w:numPr>
        <w:tabs>
          <w:tab w:val="left" w:pos="0"/>
        </w:tabs>
        <w:rPr>
          <w:highlight w:val="white"/>
        </w:rPr>
      </w:pPr>
      <w:r>
        <w:rPr>
          <w:highlight w:val="white"/>
        </w:rPr>
        <w:t>согласовывается сторонами в приложении к договору;</w:t>
      </w:r>
    </w:p>
    <w:p w14:paraId="4E6C6CDF" w14:textId="77777777" w:rsidR="002F57C3" w:rsidRDefault="00000000">
      <w:pPr>
        <w:numPr>
          <w:ilvl w:val="2"/>
          <w:numId w:val="1"/>
        </w:numPr>
        <w:tabs>
          <w:tab w:val="left" w:pos="0"/>
        </w:tabs>
      </w:pPr>
      <w:r>
        <w:rPr>
          <w:highlight w:val="white"/>
        </w:rPr>
        <w:t>оплачивается заказчиком в руб</w:t>
      </w:r>
      <w:r>
        <w:t>лях Российской Федерации в безналичной форме по банковским реквизитам сторон, указанным в договоре;</w:t>
      </w:r>
    </w:p>
    <w:p w14:paraId="3099905D" w14:textId="77777777" w:rsidR="002F57C3" w:rsidRDefault="00000000">
      <w:pPr>
        <w:numPr>
          <w:ilvl w:val="2"/>
          <w:numId w:val="1"/>
        </w:numPr>
        <w:tabs>
          <w:tab w:val="left" w:pos="0"/>
        </w:tabs>
      </w:pPr>
      <w:r>
        <w:t>включает  вознаграждение исполнителя за передачу заказчику исключительного права (п. п. 2.2., 2.2.2. договора);</w:t>
      </w:r>
    </w:p>
    <w:p w14:paraId="0E44021A" w14:textId="77777777" w:rsidR="002F57C3" w:rsidRDefault="00000000">
      <w:pPr>
        <w:numPr>
          <w:ilvl w:val="2"/>
          <w:numId w:val="1"/>
        </w:numPr>
        <w:tabs>
          <w:tab w:val="left" w:pos="0"/>
        </w:tabs>
      </w:pPr>
      <w:r>
        <w:t>не облагается НДС в связи с применением исполнителем УСН (гл. 26.2. Налогового кодекса Российской Федерации).</w:t>
      </w:r>
    </w:p>
    <w:p w14:paraId="62114967" w14:textId="77777777" w:rsidR="002F57C3" w:rsidRDefault="00000000">
      <w:pPr>
        <w:numPr>
          <w:ilvl w:val="1"/>
          <w:numId w:val="1"/>
        </w:numPr>
        <w:tabs>
          <w:tab w:val="left" w:pos="-3"/>
        </w:tabs>
      </w:pPr>
      <w:r>
        <w:t>Если иное не предусмотрено условиями договора и (или) приложением к нему, то:</w:t>
      </w:r>
    </w:p>
    <w:p w14:paraId="4C39E9D5" w14:textId="77777777" w:rsidR="002F57C3" w:rsidRDefault="00000000">
      <w:pPr>
        <w:numPr>
          <w:ilvl w:val="2"/>
          <w:numId w:val="1"/>
        </w:numPr>
        <w:tabs>
          <w:tab w:val="left" w:pos="0"/>
        </w:tabs>
      </w:pPr>
      <w:r>
        <w:t>исполнитель составляет акт сдачи-приемки в 2 (двух) экземплярах и направляет заказчику не позднее 5 (пяти) рабочих дней с даты окончания периода оказания услуг, указанного в приложении;</w:t>
      </w:r>
    </w:p>
    <w:p w14:paraId="64CC5C0E" w14:textId="77777777" w:rsidR="002F57C3" w:rsidRDefault="00000000">
      <w:pPr>
        <w:numPr>
          <w:ilvl w:val="2"/>
          <w:numId w:val="1"/>
        </w:numPr>
        <w:tabs>
          <w:tab w:val="left" w:pos="-3"/>
        </w:tabs>
      </w:pPr>
      <w:r>
        <w:t>если акт сдачи-приемки или письменный мотивированный отказ от его подписания не будет направлен исполнителю в течение 5 (пяти) рабочих дней с даты получения заказчиком, такой акт считается подписанным, а услуги – оказанными в полном объеме и надлежащего качества (без замечаний заказчика);</w:t>
      </w:r>
    </w:p>
    <w:p w14:paraId="0EF47076" w14:textId="77777777" w:rsidR="002F57C3" w:rsidRDefault="00000000">
      <w:pPr>
        <w:numPr>
          <w:ilvl w:val="2"/>
          <w:numId w:val="1"/>
        </w:numPr>
        <w:tabs>
          <w:tab w:val="left" w:pos="-3"/>
        </w:tabs>
      </w:pPr>
      <w:r>
        <w:t xml:space="preserve">в случае получения от заказчика мотивированного письменного отказа от подписания акта (п. 4.2.2. договора), стороны обязаны в течение 5 (пяти) рабочих дней (с даты получения мотивированного отказа) согласовать перечень доработок с указанием срока устранения каждого недостатка услуг, если такие недостатки являются объективными (то есть не соответствуют согласованным сторонами </w:t>
      </w:r>
      <w:r>
        <w:rPr>
          <w:highlight w:val="white"/>
        </w:rPr>
        <w:t>условиям оказания услуг).</w:t>
      </w:r>
    </w:p>
    <w:p w14:paraId="528B1D82" w14:textId="77777777" w:rsidR="002F57C3" w:rsidRDefault="00000000">
      <w:pPr>
        <w:numPr>
          <w:ilvl w:val="1"/>
          <w:numId w:val="1"/>
        </w:numPr>
        <w:tabs>
          <w:tab w:val="left" w:pos="-3"/>
        </w:tabs>
        <w:rPr>
          <w:highlight w:val="white"/>
        </w:rPr>
      </w:pPr>
      <w:r>
        <w:rPr>
          <w:highlight w:val="white"/>
        </w:rPr>
        <w:t xml:space="preserve">Исполнитель вправе не приступать: </w:t>
      </w:r>
    </w:p>
    <w:p w14:paraId="3DF7D85F" w14:textId="77777777" w:rsidR="002F57C3" w:rsidRDefault="00000000">
      <w:pPr>
        <w:numPr>
          <w:ilvl w:val="2"/>
          <w:numId w:val="1"/>
        </w:numPr>
        <w:tabs>
          <w:tab w:val="left" w:pos="-3"/>
        </w:tabs>
        <w:rPr>
          <w:highlight w:val="white"/>
        </w:rPr>
      </w:pPr>
      <w:r>
        <w:rPr>
          <w:highlight w:val="white"/>
        </w:rPr>
        <w:t>к оказанию услуг по договору и (или) приложению к нему (без привлечения к ответственности) в связи с неисполнением заказчиком своих обязательств по договору и (или) приложению к нему;</w:t>
      </w:r>
    </w:p>
    <w:p w14:paraId="68348DAD" w14:textId="77777777" w:rsidR="002F57C3" w:rsidRDefault="00000000">
      <w:pPr>
        <w:numPr>
          <w:ilvl w:val="2"/>
          <w:numId w:val="1"/>
        </w:numPr>
        <w:tabs>
          <w:tab w:val="left" w:pos="-3"/>
        </w:tabs>
        <w:rPr>
          <w:highlight w:val="white"/>
        </w:rPr>
      </w:pPr>
      <w:r>
        <w:rPr>
          <w:highlight w:val="white"/>
        </w:rPr>
        <w:t xml:space="preserve">к выполнению следующего этапа оказания услуг, если услуги состоят из нескольких этапов и заказчик не принял предыдущий этап. </w:t>
      </w:r>
    </w:p>
    <w:p w14:paraId="432C0588" w14:textId="77777777" w:rsidR="002F57C3" w:rsidRDefault="00000000">
      <w:pPr>
        <w:numPr>
          <w:ilvl w:val="3"/>
          <w:numId w:val="1"/>
        </w:numPr>
        <w:ind w:left="566" w:hanging="566"/>
        <w:rPr>
          <w:highlight w:val="white"/>
        </w:rPr>
      </w:pPr>
      <w:r>
        <w:rPr>
          <w:highlight w:val="white"/>
        </w:rPr>
        <w:t>при наступлении обстоятельств, предусмотренных п. 4.3.2. договора:</w:t>
      </w:r>
    </w:p>
    <w:p w14:paraId="0ADD0A87" w14:textId="77777777" w:rsidR="002F57C3" w:rsidRDefault="00000000">
      <w:pPr>
        <w:numPr>
          <w:ilvl w:val="4"/>
          <w:numId w:val="1"/>
        </w:numPr>
        <w:ind w:left="566" w:hanging="566"/>
        <w:rPr>
          <w:highlight w:val="white"/>
        </w:rPr>
      </w:pPr>
      <w:r>
        <w:rPr>
          <w:highlight w:val="white"/>
        </w:rPr>
        <w:t>стороны дополнительно согласовывают срок устранения недостатков в порядке, предусмотренном п. 4.2.3. договора, а к исполнителю не применяются меры ответственности в соответствии с п. 5.2. договора;</w:t>
      </w:r>
    </w:p>
    <w:p w14:paraId="5CE98188" w14:textId="77777777" w:rsidR="002F57C3" w:rsidRDefault="00000000">
      <w:pPr>
        <w:numPr>
          <w:ilvl w:val="4"/>
          <w:numId w:val="1"/>
        </w:numPr>
        <w:tabs>
          <w:tab w:val="right" w:pos="708"/>
        </w:tabs>
        <w:ind w:left="566" w:hanging="566"/>
        <w:rPr>
          <w:highlight w:val="white"/>
        </w:rPr>
      </w:pPr>
      <w:r>
        <w:rPr>
          <w:highlight w:val="white"/>
        </w:rPr>
        <w:t>срок выполнения следующего этапа изменяется соразмерно на срок устранения исполнителем недостатков предыдущего, что не будет являться нарушением срока оказания услуг.</w:t>
      </w:r>
    </w:p>
    <w:p w14:paraId="051B29DB" w14:textId="77777777" w:rsidR="002F57C3" w:rsidRDefault="00000000">
      <w:pPr>
        <w:numPr>
          <w:ilvl w:val="1"/>
          <w:numId w:val="1"/>
        </w:numPr>
        <w:ind w:left="570" w:hanging="570"/>
        <w:rPr>
          <w:highlight w:val="white"/>
        </w:rPr>
      </w:pPr>
      <w:r>
        <w:rPr>
          <w:highlight w:val="white"/>
        </w:rPr>
        <w:t>Порядок утверждения этапов оказания услуг (в т. ч. работ):</w:t>
      </w:r>
    </w:p>
    <w:p w14:paraId="7E217C2A" w14:textId="77777777" w:rsidR="002F57C3" w:rsidRDefault="00000000">
      <w:pPr>
        <w:numPr>
          <w:ilvl w:val="2"/>
          <w:numId w:val="1"/>
        </w:numPr>
        <w:ind w:left="570" w:hanging="570"/>
        <w:rPr>
          <w:highlight w:val="white"/>
        </w:rPr>
      </w:pPr>
      <w:r>
        <w:rPr>
          <w:highlight w:val="white"/>
        </w:rPr>
        <w:t xml:space="preserve">заказчик утверждает промежуточные результаты услуг в срок не более 4 (четырех) рабочих дней с даты их передачи заказчику; </w:t>
      </w:r>
    </w:p>
    <w:p w14:paraId="65A54DA4" w14:textId="77777777" w:rsidR="002F57C3" w:rsidRDefault="00000000">
      <w:pPr>
        <w:numPr>
          <w:ilvl w:val="3"/>
          <w:numId w:val="1"/>
        </w:numPr>
        <w:ind w:left="570" w:hanging="570"/>
        <w:rPr>
          <w:highlight w:val="white"/>
        </w:rPr>
      </w:pPr>
      <w:r>
        <w:rPr>
          <w:highlight w:val="white"/>
        </w:rPr>
        <w:t>если от заказчика не поступило мотивированного письменного отказа (в срок, указанный в п. 4.4.1. договора), то промежуточные результаты услуг считаются принятыми, а текущий этап услуг – завершенным;</w:t>
      </w:r>
    </w:p>
    <w:p w14:paraId="11A08C7C" w14:textId="77777777" w:rsidR="002F57C3" w:rsidRDefault="00000000">
      <w:pPr>
        <w:numPr>
          <w:ilvl w:val="2"/>
          <w:numId w:val="1"/>
        </w:numPr>
        <w:ind w:left="570" w:hanging="570"/>
        <w:rPr>
          <w:highlight w:val="white"/>
        </w:rPr>
      </w:pPr>
      <w:r>
        <w:rPr>
          <w:highlight w:val="white"/>
        </w:rPr>
        <w:t xml:space="preserve">заказчик вправе вносить не более 2 (двух) правок в результат услуг; </w:t>
      </w:r>
    </w:p>
    <w:p w14:paraId="573A26D8" w14:textId="77777777" w:rsidR="002F57C3" w:rsidRDefault="00000000">
      <w:pPr>
        <w:numPr>
          <w:ilvl w:val="3"/>
          <w:numId w:val="1"/>
        </w:numPr>
        <w:ind w:left="570" w:hanging="570"/>
        <w:rPr>
          <w:highlight w:val="white"/>
        </w:rPr>
      </w:pPr>
      <w:r>
        <w:rPr>
          <w:highlight w:val="white"/>
        </w:rPr>
        <w:lastRenderedPageBreak/>
        <w:t>под правками понимается список доработок, не затрагивающий добавление или изменение элементов, которые не были согласованы в приложении; каждый список доработок утверждается заказчиком;</w:t>
      </w:r>
    </w:p>
    <w:p w14:paraId="6CF11657" w14:textId="77777777" w:rsidR="002F57C3" w:rsidRDefault="00000000">
      <w:pPr>
        <w:numPr>
          <w:ilvl w:val="2"/>
          <w:numId w:val="1"/>
        </w:numPr>
        <w:ind w:left="570" w:hanging="570"/>
        <w:rPr>
          <w:highlight w:val="white"/>
        </w:rPr>
      </w:pPr>
      <w:r>
        <w:rPr>
          <w:highlight w:val="white"/>
        </w:rPr>
        <w:t>в случае внесения правок, предполагающих добавление или изменение элементов, не описанных в приложении, заказчик дополнительно оплачивает соответствующие услуги.</w:t>
      </w:r>
    </w:p>
    <w:p w14:paraId="77F2FAB1" w14:textId="77777777" w:rsidR="002F57C3" w:rsidRDefault="00000000">
      <w:pPr>
        <w:numPr>
          <w:ilvl w:val="0"/>
          <w:numId w:val="1"/>
        </w:numPr>
      </w:pPr>
      <w:r>
        <w:rPr>
          <w:b/>
        </w:rPr>
        <w:t>Ответственность сторон</w:t>
      </w:r>
    </w:p>
    <w:p w14:paraId="3F885881" w14:textId="77777777" w:rsidR="002F57C3" w:rsidRDefault="00000000">
      <w:pPr>
        <w:numPr>
          <w:ilvl w:val="1"/>
          <w:numId w:val="1"/>
        </w:numPr>
      </w:pPr>
      <w:r>
        <w:t>При предъявлении исполнителю претензий третьих лиц, чьи РИД были неправомерно переданы (или переданы с нарушением прав третьих лиц) исполнителю в целях исполнения договора, заказчик обязан урегулировать указанные претензии собственными силами и за свой счет, а также компенсировать в полном объеме убытки исполнителя, возникшие в результате нарушения заказчиком гарантий, предусмотренных п. 2.1. договора.</w:t>
      </w:r>
    </w:p>
    <w:p w14:paraId="6CB81E9C" w14:textId="77777777" w:rsidR="002F57C3" w:rsidRDefault="00000000">
      <w:pPr>
        <w:numPr>
          <w:ilvl w:val="1"/>
          <w:numId w:val="1"/>
        </w:numPr>
      </w:pPr>
      <w:r>
        <w:t>Неустойка за нарушение срока исполнения обязательства, предусмотренного договором и (или) приложением к нему – 0,1% (ноль целых одна десятая процента) от цены услуг, предусмотренных приложением, срок исполнения обязательства по которому нарушен, за каждый день нарушения, но не более 10 % от цены услуг.</w:t>
      </w:r>
    </w:p>
    <w:p w14:paraId="6E7B2707" w14:textId="77777777" w:rsidR="002F57C3" w:rsidRDefault="00000000">
      <w:pPr>
        <w:numPr>
          <w:ilvl w:val="1"/>
          <w:numId w:val="1"/>
        </w:numPr>
      </w:pPr>
      <w:r>
        <w:t>Договором и (или) приложением к нему может быть предусмотрена обязанность заказчика передать исполнителю материалы (п. 2.1. договора), необходимые для исполнения последним своих обязательств по договору, и, если заказчик нарушает срок передачи, не передает или передает материалы (п. 2.1. договора) в несогласованном качестве (или количестве), то:</w:t>
      </w:r>
    </w:p>
    <w:p w14:paraId="0595282A" w14:textId="77777777" w:rsidR="002F57C3" w:rsidRDefault="00000000">
      <w:pPr>
        <w:numPr>
          <w:ilvl w:val="2"/>
          <w:numId w:val="1"/>
        </w:numPr>
      </w:pPr>
      <w:r>
        <w:t>исполнитель освобождается от ответственности за нарушение срока исполнения своих обязательств по договору (п. 5.1. договора);</w:t>
      </w:r>
    </w:p>
    <w:p w14:paraId="46328709" w14:textId="77777777" w:rsidR="002F57C3" w:rsidRDefault="00000000">
      <w:pPr>
        <w:numPr>
          <w:ilvl w:val="2"/>
          <w:numId w:val="1"/>
        </w:numPr>
      </w:pPr>
      <w:r>
        <w:t xml:space="preserve">срок исполнения обязательств исполнителя изменяется на количество дней, необходимых для </w:t>
      </w:r>
      <w:r>
        <w:rPr>
          <w:highlight w:val="white"/>
        </w:rPr>
        <w:t>предоставления заказчиком материалов (п. 2.1. договора) надлежащего качества (и в надлежащем количестве) в соответствии с условиями договора и (или) приложений к нему.</w:t>
      </w:r>
    </w:p>
    <w:p w14:paraId="5039F139" w14:textId="77777777" w:rsidR="002F57C3" w:rsidRDefault="00000000">
      <w:pPr>
        <w:numPr>
          <w:ilvl w:val="1"/>
          <w:numId w:val="1"/>
        </w:numPr>
        <w:rPr>
          <w:highlight w:val="white"/>
        </w:rPr>
      </w:pPr>
      <w:r>
        <w:rPr>
          <w:highlight w:val="white"/>
        </w:rPr>
        <w:t>Сторона освобождается от ответственности за неисполнение или ненадлежащее исполнение своих обязательств вследствие обстоятельств непреодолимой силы, удостоверенных справкой компетентного органа государственной власти.</w:t>
      </w:r>
    </w:p>
    <w:p w14:paraId="59E7F285" w14:textId="77777777" w:rsidR="002F57C3" w:rsidRDefault="00000000">
      <w:pPr>
        <w:numPr>
          <w:ilvl w:val="1"/>
          <w:numId w:val="1"/>
        </w:numPr>
        <w:rPr>
          <w:highlight w:val="white"/>
        </w:rPr>
      </w:pPr>
      <w:r>
        <w:rPr>
          <w:highlight w:val="white"/>
        </w:rPr>
        <w:t xml:space="preserve">В порядке ст. 406.1. Гражданского кодекса Российской Федерации заказчик обязан возместить имущественные потери (в т. ч. штрафы, неустойку) исполнителя, возникшие в случае привлечения последнего в результате исполнения договора к административной, гражданско-правовой ответственности за нарушение законодательства Российской Федерации, если такое нарушение было вызвано неправомерными действиями заказчика (или правообладателя РИД, созданного в рамках исполнения договора). </w:t>
      </w:r>
    </w:p>
    <w:p w14:paraId="324FB7DA" w14:textId="77777777" w:rsidR="002F57C3" w:rsidRDefault="00000000">
      <w:pPr>
        <w:numPr>
          <w:ilvl w:val="1"/>
          <w:numId w:val="1"/>
        </w:numPr>
        <w:rPr>
          <w:highlight w:val="white"/>
        </w:rPr>
      </w:pPr>
      <w:r>
        <w:rPr>
          <w:highlight w:val="white"/>
        </w:rPr>
        <w:t>Возмещение имущественных потерь (п. 5.6. договора) и компенсация (п. 5.4. договора) выплачивается заказчиком в течение 10 (десяти) рабочих дней на основании требования исполнителя.</w:t>
      </w:r>
    </w:p>
    <w:p w14:paraId="374CF060" w14:textId="77777777" w:rsidR="002F57C3" w:rsidRDefault="00000000">
      <w:pPr>
        <w:numPr>
          <w:ilvl w:val="0"/>
          <w:numId w:val="1"/>
        </w:numPr>
      </w:pPr>
      <w:r>
        <w:rPr>
          <w:b/>
        </w:rPr>
        <w:t>Особые условия</w:t>
      </w:r>
    </w:p>
    <w:p w14:paraId="1DAE65F9" w14:textId="77777777" w:rsidR="002F57C3" w:rsidRDefault="00000000">
      <w:pPr>
        <w:numPr>
          <w:ilvl w:val="1"/>
          <w:numId w:val="1"/>
        </w:numPr>
        <w:tabs>
          <w:tab w:val="left" w:pos="0"/>
        </w:tabs>
      </w:pPr>
      <w:r>
        <w:t>К отношениям сторон применяется законодательство Российской Федерации.</w:t>
      </w:r>
    </w:p>
    <w:p w14:paraId="468AC5CB" w14:textId="77777777" w:rsidR="002F57C3" w:rsidRDefault="00000000">
      <w:pPr>
        <w:numPr>
          <w:ilvl w:val="1"/>
          <w:numId w:val="1"/>
        </w:numPr>
        <w:tabs>
          <w:tab w:val="left" w:pos="0"/>
        </w:tabs>
      </w:pPr>
      <w:r>
        <w:t>Все изменения и дополнения к договору имеют юридическую силу, если они совершены в письменной форме или иным способом, который допускают условия договора.</w:t>
      </w:r>
    </w:p>
    <w:p w14:paraId="54D2C966" w14:textId="77777777" w:rsidR="002F57C3" w:rsidRDefault="00000000">
      <w:pPr>
        <w:numPr>
          <w:ilvl w:val="1"/>
          <w:numId w:val="1"/>
        </w:numPr>
        <w:tabs>
          <w:tab w:val="left" w:pos="0"/>
        </w:tabs>
      </w:pPr>
      <w:r>
        <w:t>Приложения к договору являются его неотъемлемой частью и содержат существенные для сторон условия.</w:t>
      </w:r>
    </w:p>
    <w:p w14:paraId="358520ED" w14:textId="77777777" w:rsidR="002F57C3" w:rsidRDefault="00000000">
      <w:pPr>
        <w:numPr>
          <w:ilvl w:val="1"/>
          <w:numId w:val="1"/>
        </w:numPr>
        <w:tabs>
          <w:tab w:val="left" w:pos="-3"/>
        </w:tabs>
      </w:pPr>
      <w:r>
        <w:t>Стороны обязуются обеспечивать конфиденциальность информации, полученной в ходе исполнения договора, и не допускать разглашения такой информации в течение 5 (пяти) лет с момента её получения, но не менее 5 (пяти) лет с даты заключения договора.</w:t>
      </w:r>
    </w:p>
    <w:p w14:paraId="4F4CF9E4" w14:textId="77777777" w:rsidR="002F57C3" w:rsidRDefault="00000000">
      <w:pPr>
        <w:numPr>
          <w:ilvl w:val="2"/>
          <w:numId w:val="1"/>
        </w:numPr>
        <w:tabs>
          <w:tab w:val="left" w:pos="-3"/>
        </w:tabs>
      </w:pPr>
      <w:r>
        <w:t xml:space="preserve">Информация, которую стороны относят к конфиденциальной и содержащей коммерческую тайну, должна быть оформлена в соответствии с требованиями, предъявляемыми к такой категории информации (ч. 5 п. 1 ст. 10 ФЗ от 29.07.2004 № 98-ФЗ «О коммерческой тайне»). </w:t>
      </w:r>
    </w:p>
    <w:p w14:paraId="571B78D8" w14:textId="77777777" w:rsidR="002F57C3" w:rsidRDefault="00000000">
      <w:pPr>
        <w:numPr>
          <w:ilvl w:val="1"/>
          <w:numId w:val="1"/>
        </w:numPr>
        <w:tabs>
          <w:tab w:val="left" w:pos="0"/>
        </w:tabs>
      </w:pPr>
      <w:r>
        <w:t>Передача прав или обязанностей по договору третьему лицу – только с письменного согласия другой стороны.</w:t>
      </w:r>
    </w:p>
    <w:p w14:paraId="53F7C837" w14:textId="77777777" w:rsidR="002F57C3" w:rsidRDefault="00000000">
      <w:pPr>
        <w:numPr>
          <w:ilvl w:val="0"/>
          <w:numId w:val="1"/>
        </w:numPr>
        <w:tabs>
          <w:tab w:val="left" w:pos="0"/>
        </w:tabs>
      </w:pPr>
      <w:r>
        <w:rPr>
          <w:b/>
        </w:rPr>
        <w:t>Обмен информацией</w:t>
      </w:r>
    </w:p>
    <w:p w14:paraId="63C8C656" w14:textId="77777777" w:rsidR="002F57C3" w:rsidRDefault="00000000">
      <w:pPr>
        <w:numPr>
          <w:ilvl w:val="1"/>
          <w:numId w:val="1"/>
        </w:numPr>
        <w:tabs>
          <w:tab w:val="left" w:pos="0"/>
        </w:tabs>
      </w:pPr>
      <w:r>
        <w:t>В соответствии со ст. 165.1 Гражданского кодекса Российской Федерации юридически значимые сообщения могут быть переданы с использованием средств электронной связи:</w:t>
      </w:r>
    </w:p>
    <w:p w14:paraId="286DC1B6" w14:textId="77777777" w:rsidR="002F57C3" w:rsidRDefault="00000000">
      <w:pPr>
        <w:numPr>
          <w:ilvl w:val="2"/>
          <w:numId w:val="1"/>
        </w:numPr>
        <w:tabs>
          <w:tab w:val="left" w:pos="0"/>
        </w:tabs>
      </w:pPr>
      <w:r>
        <w:lastRenderedPageBreak/>
        <w:t>электронная почта;</w:t>
      </w:r>
    </w:p>
    <w:p w14:paraId="15AD2F3F" w14:textId="77777777" w:rsidR="002F57C3" w:rsidRDefault="00000000">
      <w:pPr>
        <w:numPr>
          <w:ilvl w:val="2"/>
          <w:numId w:val="1"/>
        </w:numPr>
        <w:tabs>
          <w:tab w:val="left" w:pos="0"/>
        </w:tabs>
      </w:pPr>
      <w:r>
        <w:t>электронный документооборот;</w:t>
      </w:r>
    </w:p>
    <w:p w14:paraId="2FFA4C58" w14:textId="77777777" w:rsidR="002F57C3" w:rsidRDefault="00000000">
      <w:pPr>
        <w:numPr>
          <w:ilvl w:val="2"/>
          <w:numId w:val="1"/>
        </w:numPr>
        <w:tabs>
          <w:tab w:val="left" w:pos="0"/>
        </w:tabs>
      </w:pPr>
      <w:r>
        <w:t>мессенджер (What's App, Telegram);</w:t>
      </w:r>
    </w:p>
    <w:p w14:paraId="304F983F" w14:textId="77777777" w:rsidR="002F57C3" w:rsidRDefault="00000000">
      <w:pPr>
        <w:numPr>
          <w:ilvl w:val="1"/>
          <w:numId w:val="1"/>
        </w:numPr>
        <w:tabs>
          <w:tab w:val="left" w:pos="0"/>
        </w:tabs>
      </w:pPr>
      <w:r>
        <w:t>Вся электронная переписка, совершаемая между сторонами относительно исполнения договора, имеет юр</w:t>
      </w:r>
      <w:r>
        <w:rPr>
          <w:highlight w:val="white"/>
        </w:rPr>
        <w:t xml:space="preserve">идическую силу и может использоваться в качестве доказательства при разрешении возникающих споров. </w:t>
      </w:r>
    </w:p>
    <w:p w14:paraId="78907F47" w14:textId="77777777" w:rsidR="002F57C3" w:rsidRDefault="00000000">
      <w:pPr>
        <w:numPr>
          <w:ilvl w:val="2"/>
          <w:numId w:val="1"/>
        </w:numPr>
        <w:tabs>
          <w:tab w:val="left" w:pos="0"/>
        </w:tabs>
        <w:rPr>
          <w:highlight w:val="white"/>
        </w:rPr>
      </w:pPr>
      <w:r>
        <w:rPr>
          <w:highlight w:val="white"/>
        </w:rPr>
        <w:t xml:space="preserve">Стороны подтверждают, что доступ к электронному почтовому ящику имеют только стороны и их уполномоченные представители. </w:t>
      </w:r>
    </w:p>
    <w:p w14:paraId="5A6FB131" w14:textId="645DAE71" w:rsidR="002F57C3" w:rsidRDefault="00000000">
      <w:pPr>
        <w:numPr>
          <w:ilvl w:val="1"/>
          <w:numId w:val="1"/>
        </w:numPr>
        <w:rPr>
          <w:highlight w:val="white"/>
        </w:rPr>
      </w:pPr>
      <w:r>
        <w:rPr>
          <w:highlight w:val="white"/>
        </w:rPr>
        <w:t xml:space="preserve">Не вступая в противоречие с п. п. 6.2., 7.2. договора и дополняя его содержание, стороны пришли к соглашению о том, что условия оказания услуг, согласованные в приложении к договору, могут быть дополнены (в т. ч. изменены) путем обмена сообщениями в мессенджере (п. 7.1.3. договора). </w:t>
      </w:r>
    </w:p>
    <w:p w14:paraId="09ED7BF2" w14:textId="77777777" w:rsidR="002F57C3" w:rsidRDefault="00000000">
      <w:pPr>
        <w:numPr>
          <w:ilvl w:val="0"/>
          <w:numId w:val="1"/>
        </w:numPr>
        <w:tabs>
          <w:tab w:val="left" w:pos="0"/>
        </w:tabs>
        <w:rPr>
          <w:highlight w:val="white"/>
        </w:rPr>
      </w:pPr>
      <w:r>
        <w:rPr>
          <w:b/>
          <w:highlight w:val="white"/>
        </w:rPr>
        <w:t>Урегулирование споров</w:t>
      </w:r>
    </w:p>
    <w:p w14:paraId="76B8AFE7" w14:textId="77777777" w:rsidR="002F57C3" w:rsidRDefault="00000000">
      <w:pPr>
        <w:numPr>
          <w:ilvl w:val="1"/>
          <w:numId w:val="1"/>
        </w:numPr>
        <w:tabs>
          <w:tab w:val="left" w:pos="0"/>
        </w:tabs>
        <w:rPr>
          <w:highlight w:val="white"/>
        </w:rPr>
      </w:pPr>
      <w:r>
        <w:rPr>
          <w:highlight w:val="white"/>
        </w:rPr>
        <w:t xml:space="preserve">Досудебный (претензионный) порядок урегулирования споров в течение 20 (двадцати) дней обязателен. </w:t>
      </w:r>
    </w:p>
    <w:p w14:paraId="26412B94" w14:textId="12B06A1E" w:rsidR="002F57C3" w:rsidRDefault="00000000">
      <w:pPr>
        <w:numPr>
          <w:ilvl w:val="1"/>
          <w:numId w:val="1"/>
        </w:numPr>
        <w:tabs>
          <w:tab w:val="left" w:pos="0"/>
        </w:tabs>
      </w:pPr>
      <w:r>
        <w:rPr>
          <w:highlight w:val="white"/>
        </w:rPr>
        <w:t>Если сторонам не удается урег</w:t>
      </w:r>
      <w:r>
        <w:t xml:space="preserve">улировать спор в досудебном порядке (п. </w:t>
      </w:r>
      <w:r w:rsidR="005971E2">
        <w:t>8</w:t>
      </w:r>
      <w:r>
        <w:t>.1. договора), то такой спор подлежит рассмотрению в соответствии с законодательством Российской Федерации по месту нахождения ответчика.</w:t>
      </w:r>
    </w:p>
    <w:p w14:paraId="2D318D94" w14:textId="77777777" w:rsidR="002F57C3" w:rsidRDefault="00000000">
      <w:pPr>
        <w:numPr>
          <w:ilvl w:val="0"/>
          <w:numId w:val="1"/>
        </w:numPr>
      </w:pPr>
      <w:r>
        <w:rPr>
          <w:b/>
        </w:rPr>
        <w:t>Реквизиты сторон</w:t>
      </w:r>
    </w:p>
    <w:p w14:paraId="6111452C" w14:textId="77777777" w:rsidR="002F57C3" w:rsidRDefault="00000000">
      <w:pPr>
        <w:numPr>
          <w:ilvl w:val="1"/>
          <w:numId w:val="1"/>
        </w:numPr>
        <w:tabs>
          <w:tab w:val="left" w:pos="0"/>
        </w:tabs>
      </w:pPr>
      <w:r>
        <w:t>Сторона, реквизиты которой изменились, обязана письменно известить об этом другую сторону в течение 5 (пяти) рабочих дней с даты таких изменений.</w:t>
      </w:r>
    </w:p>
    <w:p w14:paraId="6E97A417" w14:textId="77777777" w:rsidR="002F57C3" w:rsidRDefault="00000000">
      <w:pPr>
        <w:numPr>
          <w:ilvl w:val="1"/>
          <w:numId w:val="1"/>
        </w:numPr>
      </w:pPr>
      <w:r>
        <w:t>Исполнитель</w:t>
      </w:r>
    </w:p>
    <w:p w14:paraId="4A7EF0E7" w14:textId="77777777" w:rsidR="002F57C3" w:rsidRDefault="00000000">
      <w:pPr>
        <w:spacing w:after="0"/>
        <w:ind w:left="566"/>
        <w:jc w:val="left"/>
      </w:pPr>
      <w:r>
        <w:t xml:space="preserve">Индивидуальный предприниматель Евгений Игоревич Домнушкин </w:t>
      </w:r>
    </w:p>
    <w:p w14:paraId="02ECB326" w14:textId="77777777" w:rsidR="002F57C3" w:rsidRDefault="00000000">
      <w:pPr>
        <w:spacing w:after="0"/>
        <w:ind w:left="566"/>
        <w:jc w:val="left"/>
      </w:pPr>
      <w:r>
        <w:t>453104, Стерлитамак, ул. Тукаева, д. 5в, кв. 46</w:t>
      </w:r>
    </w:p>
    <w:p w14:paraId="4DA17B7E" w14:textId="77777777" w:rsidR="002F57C3" w:rsidRDefault="00000000">
      <w:pPr>
        <w:spacing w:after="0"/>
        <w:ind w:left="566"/>
        <w:jc w:val="left"/>
      </w:pPr>
      <w:r>
        <w:t>ИНН 026801879500</w:t>
      </w:r>
    </w:p>
    <w:p w14:paraId="470B5D94" w14:textId="77777777" w:rsidR="002F57C3" w:rsidRDefault="00000000">
      <w:pPr>
        <w:spacing w:after="0"/>
        <w:ind w:left="566"/>
        <w:jc w:val="left"/>
      </w:pPr>
      <w:r>
        <w:t>ОГРНИП 315028000083995</w:t>
      </w:r>
    </w:p>
    <w:p w14:paraId="1A11C837" w14:textId="77777777" w:rsidR="002F57C3" w:rsidRDefault="00000000">
      <w:pPr>
        <w:spacing w:after="0"/>
        <w:ind w:left="566"/>
        <w:jc w:val="left"/>
      </w:pPr>
      <w:r>
        <w:t>р/с 40802810400000008472</w:t>
      </w:r>
      <w:r>
        <w:br/>
        <w:t>к/с 30101810145250000974</w:t>
      </w:r>
      <w:r>
        <w:br/>
        <w:t>в АО «Тинькофф Банк»</w:t>
      </w:r>
      <w:r>
        <w:br/>
        <w:t>БИК 044525974</w:t>
      </w:r>
    </w:p>
    <w:p w14:paraId="373AAA77" w14:textId="77777777" w:rsidR="002F57C3" w:rsidRDefault="00000000">
      <w:pPr>
        <w:spacing w:after="0"/>
        <w:ind w:left="566"/>
        <w:jc w:val="left"/>
      </w:pPr>
      <w:r>
        <w:t>Адрес электронной почты: ed@arbuz.moscow</w:t>
      </w:r>
    </w:p>
    <w:p w14:paraId="60AA71D1" w14:textId="77777777" w:rsidR="002F57C3" w:rsidRDefault="00000000">
      <w:pPr>
        <w:ind w:left="566"/>
      </w:pPr>
      <w:r>
        <w:t xml:space="preserve">Номер телефона: </w:t>
      </w:r>
      <w:bdo w:val="ltr">
        <w:r>
          <w:t>+7 (985) 366-79-69</w:t>
        </w:r>
        <w:r>
          <w:t>‬</w:t>
        </w:r>
        <w:r>
          <w:t>‬</w:t>
        </w:r>
        <w:r>
          <w:t>‬</w:t>
        </w:r>
      </w:bdo>
    </w:p>
    <w:p w14:paraId="05DD4FEC" w14:textId="77777777" w:rsidR="002F57C3" w:rsidRDefault="00000000">
      <w:pPr>
        <w:numPr>
          <w:ilvl w:val="1"/>
          <w:numId w:val="1"/>
        </w:numPr>
      </w:pPr>
      <w:r>
        <w:t>Заказчик</w:t>
      </w:r>
    </w:p>
    <w:p w14:paraId="164FC0EB" w14:textId="77777777" w:rsidR="002F57C3" w:rsidRDefault="00000000">
      <w:pPr>
        <w:spacing w:after="0"/>
        <w:ind w:left="566" w:right="359"/>
        <w:rPr>
          <w:color w:val="FF0000"/>
        </w:rPr>
      </w:pPr>
      <w:r>
        <w:rPr>
          <w:color w:val="FF0000"/>
        </w:rPr>
        <w:t>ООО «Организация»</w:t>
      </w:r>
    </w:p>
    <w:p w14:paraId="0CA8A2FC" w14:textId="77777777" w:rsidR="002F57C3" w:rsidRDefault="00000000">
      <w:pPr>
        <w:spacing w:after="0"/>
        <w:ind w:left="566" w:right="359"/>
        <w:rPr>
          <w:color w:val="FF0000"/>
        </w:rPr>
      </w:pPr>
      <w:r>
        <w:rPr>
          <w:color w:val="FF0000"/>
        </w:rPr>
        <w:t>107078 Москва, переулок Орликов,</w:t>
      </w:r>
    </w:p>
    <w:p w14:paraId="3C814615" w14:textId="77777777" w:rsidR="002F57C3" w:rsidRDefault="00000000">
      <w:pPr>
        <w:spacing w:after="0"/>
        <w:ind w:left="566" w:right="359"/>
        <w:rPr>
          <w:color w:val="FF0000"/>
        </w:rPr>
      </w:pPr>
      <w:r>
        <w:rPr>
          <w:color w:val="FF0000"/>
        </w:rPr>
        <w:t>дом 6 пом/ком 2/2</w:t>
      </w:r>
    </w:p>
    <w:p w14:paraId="466A77BC" w14:textId="77777777" w:rsidR="002F57C3" w:rsidRDefault="00000000">
      <w:pPr>
        <w:spacing w:after="0"/>
        <w:ind w:left="566" w:right="359"/>
        <w:jc w:val="left"/>
        <w:rPr>
          <w:color w:val="FF0000"/>
        </w:rPr>
      </w:pPr>
      <w:r>
        <w:rPr>
          <w:color w:val="FF0000"/>
        </w:rPr>
        <w:t>ОГРН 1107746190892</w:t>
      </w:r>
      <w:r>
        <w:rPr>
          <w:color w:val="FF0000"/>
        </w:rPr>
        <w:br/>
        <w:t xml:space="preserve">ИНН 7704748846 </w:t>
      </w:r>
      <w:r>
        <w:rPr>
          <w:color w:val="FF0000"/>
        </w:rPr>
        <w:br/>
        <w:t>р/с 40702810638260014881</w:t>
      </w:r>
      <w:r>
        <w:rPr>
          <w:color w:val="FF0000"/>
        </w:rPr>
        <w:br/>
        <w:t xml:space="preserve">к/с 30101810400000000225 </w:t>
      </w:r>
    </w:p>
    <w:p w14:paraId="7D80348B" w14:textId="77777777" w:rsidR="002F57C3" w:rsidRDefault="00000000">
      <w:pPr>
        <w:spacing w:after="0"/>
        <w:ind w:left="566" w:right="359"/>
        <w:jc w:val="left"/>
        <w:rPr>
          <w:color w:val="FF0000"/>
        </w:rPr>
      </w:pPr>
      <w:r>
        <w:rPr>
          <w:color w:val="FF0000"/>
        </w:rPr>
        <w:t>в ПАО СБЕРБАНК г. Москва</w:t>
      </w:r>
    </w:p>
    <w:p w14:paraId="3A6CC31D" w14:textId="77777777" w:rsidR="002F57C3" w:rsidRDefault="00000000">
      <w:pPr>
        <w:spacing w:after="0"/>
        <w:ind w:left="566" w:right="359"/>
        <w:rPr>
          <w:color w:val="FF0000"/>
        </w:rPr>
      </w:pPr>
      <w:r>
        <w:rPr>
          <w:color w:val="FF0000"/>
        </w:rPr>
        <w:t>БИК 044525225</w:t>
      </w:r>
    </w:p>
    <w:p w14:paraId="79860ADF" w14:textId="77777777" w:rsidR="002F57C3" w:rsidRDefault="00000000">
      <w:pPr>
        <w:spacing w:after="0"/>
        <w:ind w:left="566"/>
        <w:jc w:val="left"/>
        <w:rPr>
          <w:color w:val="FF0000"/>
        </w:rPr>
      </w:pPr>
      <w:r>
        <w:rPr>
          <w:color w:val="FF0000"/>
        </w:rPr>
        <w:t xml:space="preserve">Адрес электронной почты: </w:t>
      </w:r>
    </w:p>
    <w:p w14:paraId="265BF6F6" w14:textId="77777777" w:rsidR="002F57C3" w:rsidRDefault="00000000">
      <w:pPr>
        <w:ind w:left="566"/>
      </w:pPr>
      <w:r>
        <w:rPr>
          <w:color w:val="FF0000"/>
        </w:rPr>
        <w:t xml:space="preserve">Номер телефона: </w:t>
      </w:r>
    </w:p>
    <w:sectPr w:rsidR="002F57C3">
      <w:headerReference w:type="even" r:id="rId7"/>
      <w:headerReference w:type="default" r:id="rId8"/>
      <w:footerReference w:type="even" r:id="rId9"/>
      <w:footerReference w:type="default" r:id="rId10"/>
      <w:headerReference w:type="first" r:id="rId11"/>
      <w:footerReference w:type="first" r:id="rId12"/>
      <w:pgSz w:w="11906" w:h="16838"/>
      <w:pgMar w:top="1133" w:right="566" w:bottom="1133" w:left="1133" w:header="420"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2369" w14:textId="77777777" w:rsidR="00EC0050" w:rsidRDefault="00EC0050">
      <w:pPr>
        <w:spacing w:after="0"/>
      </w:pPr>
      <w:r>
        <w:separator/>
      </w:r>
    </w:p>
  </w:endnote>
  <w:endnote w:type="continuationSeparator" w:id="0">
    <w:p w14:paraId="6A95F1FE" w14:textId="77777777" w:rsidR="00EC0050" w:rsidRDefault="00EC00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2D37" w14:textId="77777777" w:rsidR="002F57C3" w:rsidRDefault="00000000">
    <w:pPr>
      <w:pBdr>
        <w:top w:val="nil"/>
        <w:left w:val="nil"/>
        <w:bottom w:val="nil"/>
        <w:right w:val="nil"/>
        <w:between w:val="nil"/>
      </w:pBdr>
      <w:tabs>
        <w:tab w:val="center" w:pos="4677"/>
        <w:tab w:val="right" w:pos="9355"/>
      </w:tabs>
      <w:spacing w:after="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D9E576C" w14:textId="77777777" w:rsidR="002F57C3" w:rsidRDefault="002F57C3">
    <w:pPr>
      <w:pBdr>
        <w:top w:val="nil"/>
        <w:left w:val="nil"/>
        <w:bottom w:val="nil"/>
        <w:right w:val="nil"/>
        <w:between w:val="nil"/>
      </w:pBdr>
      <w:tabs>
        <w:tab w:val="center" w:pos="4677"/>
        <w:tab w:val="right" w:pos="9355"/>
      </w:tabs>
      <w:spacing w:after="0"/>
      <w:ind w:right="36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F2D2" w14:textId="77777777" w:rsidR="002F57C3" w:rsidRDefault="002F57C3">
    <w:pPr>
      <w:tabs>
        <w:tab w:val="center" w:pos="4026"/>
        <w:tab w:val="right" w:pos="9626"/>
      </w:tabs>
      <w:spacing w:after="0"/>
      <w:ind w:right="12"/>
      <w:rPr>
        <w:color w:val="B7B7B7"/>
        <w:sz w:val="12"/>
        <w:szCs w:val="12"/>
      </w:rPr>
    </w:pPr>
  </w:p>
  <w:tbl>
    <w:tblPr>
      <w:tblStyle w:val="a5"/>
      <w:tblW w:w="101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750"/>
      <w:gridCol w:w="4725"/>
    </w:tblGrid>
    <w:tr w:rsidR="002F57C3" w14:paraId="44963878" w14:textId="77777777">
      <w:tc>
        <w:tcPr>
          <w:tcW w:w="47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714AF7" w14:textId="77777777" w:rsidR="002F57C3" w:rsidRDefault="00000000">
          <w:pPr>
            <w:widowControl w:val="0"/>
            <w:pBdr>
              <w:top w:val="nil"/>
              <w:left w:val="nil"/>
              <w:bottom w:val="nil"/>
              <w:right w:val="nil"/>
              <w:between w:val="nil"/>
            </w:pBdr>
            <w:spacing w:after="0"/>
            <w:jc w:val="center"/>
          </w:pPr>
          <w:r>
            <w:t>Заказчик</w:t>
          </w:r>
        </w:p>
      </w:tc>
      <w:tc>
        <w:tcPr>
          <w:tcW w:w="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55B60D" w14:textId="77777777" w:rsidR="002F57C3" w:rsidRDefault="002F57C3">
          <w:pPr>
            <w:widowControl w:val="0"/>
            <w:pBdr>
              <w:top w:val="nil"/>
              <w:left w:val="nil"/>
              <w:bottom w:val="nil"/>
              <w:right w:val="nil"/>
              <w:between w:val="nil"/>
            </w:pBdr>
            <w:spacing w:after="0"/>
            <w:jc w:val="center"/>
          </w:pPr>
        </w:p>
      </w:tc>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360623" w14:textId="77777777" w:rsidR="002F57C3" w:rsidRDefault="00000000">
          <w:pPr>
            <w:widowControl w:val="0"/>
            <w:pBdr>
              <w:top w:val="nil"/>
              <w:left w:val="nil"/>
              <w:bottom w:val="nil"/>
              <w:right w:val="nil"/>
              <w:between w:val="nil"/>
            </w:pBdr>
            <w:spacing w:after="0"/>
            <w:jc w:val="center"/>
          </w:pPr>
          <w:r>
            <w:t>Исполнитель</w:t>
          </w:r>
        </w:p>
      </w:tc>
    </w:tr>
    <w:tr w:rsidR="002F57C3" w14:paraId="645F0EF2" w14:textId="77777777">
      <w:tc>
        <w:tcPr>
          <w:tcW w:w="47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2011F92" w14:textId="77777777" w:rsidR="002F57C3" w:rsidRDefault="002F57C3">
          <w:pPr>
            <w:widowControl w:val="0"/>
            <w:pBdr>
              <w:top w:val="nil"/>
              <w:left w:val="nil"/>
              <w:bottom w:val="nil"/>
              <w:right w:val="nil"/>
              <w:between w:val="nil"/>
            </w:pBdr>
            <w:spacing w:after="0"/>
            <w:jc w:val="center"/>
          </w:pPr>
        </w:p>
      </w:tc>
      <w:tc>
        <w:tcPr>
          <w:tcW w:w="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2504ED" w14:textId="77777777" w:rsidR="002F57C3" w:rsidRDefault="002F57C3">
          <w:pPr>
            <w:widowControl w:val="0"/>
            <w:pBdr>
              <w:top w:val="nil"/>
              <w:left w:val="nil"/>
              <w:bottom w:val="nil"/>
              <w:right w:val="nil"/>
              <w:between w:val="nil"/>
            </w:pBdr>
            <w:spacing w:after="0"/>
            <w:jc w:val="center"/>
          </w:pPr>
        </w:p>
      </w:tc>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73AA640" w14:textId="77777777" w:rsidR="002F57C3" w:rsidRDefault="002F57C3">
          <w:pPr>
            <w:widowControl w:val="0"/>
            <w:pBdr>
              <w:top w:val="nil"/>
              <w:left w:val="nil"/>
              <w:bottom w:val="nil"/>
              <w:right w:val="nil"/>
              <w:between w:val="nil"/>
            </w:pBdr>
            <w:spacing w:after="0"/>
            <w:jc w:val="center"/>
          </w:pPr>
        </w:p>
        <w:p w14:paraId="2008E142" w14:textId="77777777" w:rsidR="002F57C3" w:rsidRDefault="002F57C3">
          <w:pPr>
            <w:widowControl w:val="0"/>
            <w:pBdr>
              <w:top w:val="nil"/>
              <w:left w:val="nil"/>
              <w:bottom w:val="nil"/>
              <w:right w:val="nil"/>
              <w:between w:val="nil"/>
            </w:pBdr>
            <w:spacing w:after="0"/>
            <w:jc w:val="center"/>
          </w:pPr>
        </w:p>
        <w:p w14:paraId="0FB66C22" w14:textId="77777777" w:rsidR="002F57C3" w:rsidRDefault="002F57C3">
          <w:pPr>
            <w:widowControl w:val="0"/>
            <w:pBdr>
              <w:top w:val="nil"/>
              <w:left w:val="nil"/>
              <w:bottom w:val="nil"/>
              <w:right w:val="nil"/>
              <w:between w:val="nil"/>
            </w:pBdr>
            <w:spacing w:after="0"/>
            <w:jc w:val="center"/>
          </w:pPr>
        </w:p>
      </w:tc>
    </w:tr>
  </w:tbl>
  <w:p w14:paraId="2DCD3567" w14:textId="77777777" w:rsidR="002F57C3" w:rsidRDefault="002F57C3">
    <w:pPr>
      <w:tabs>
        <w:tab w:val="center" w:pos="4026"/>
        <w:tab w:val="right" w:pos="9626"/>
      </w:tabs>
      <w:spacing w:after="0"/>
      <w:ind w:right="12"/>
      <w:rPr>
        <w:color w:val="B7B7B7"/>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B863" w14:textId="77777777" w:rsidR="002F57C3" w:rsidRDefault="002F57C3">
    <w:pPr>
      <w:pBdr>
        <w:top w:val="nil"/>
        <w:left w:val="nil"/>
        <w:bottom w:val="nil"/>
        <w:right w:val="nil"/>
        <w:between w:val="nil"/>
      </w:pBdr>
      <w:tabs>
        <w:tab w:val="center" w:pos="4677"/>
        <w:tab w:val="right" w:pos="9355"/>
      </w:tabs>
      <w:spacing w:after="181"/>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59B3" w14:textId="77777777" w:rsidR="00EC0050" w:rsidRDefault="00EC0050">
      <w:pPr>
        <w:spacing w:after="0"/>
      </w:pPr>
      <w:r>
        <w:separator/>
      </w:r>
    </w:p>
  </w:footnote>
  <w:footnote w:type="continuationSeparator" w:id="0">
    <w:p w14:paraId="533A3B1C" w14:textId="77777777" w:rsidR="00EC0050" w:rsidRDefault="00EC00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5BD8" w14:textId="77777777" w:rsidR="002F57C3" w:rsidRDefault="002F57C3">
    <w:pPr>
      <w:pBdr>
        <w:top w:val="nil"/>
        <w:left w:val="nil"/>
        <w:bottom w:val="nil"/>
        <w:right w:val="nil"/>
        <w:between w:val="nil"/>
      </w:pBdr>
      <w:tabs>
        <w:tab w:val="center" w:pos="4677"/>
        <w:tab w:val="right" w:pos="9355"/>
      </w:tabs>
      <w:spacing w:after="0"/>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5024" w14:textId="77777777" w:rsidR="002F57C3" w:rsidRDefault="00000000">
    <w:pPr>
      <w:pBdr>
        <w:top w:val="nil"/>
        <w:left w:val="nil"/>
        <w:bottom w:val="nil"/>
        <w:right w:val="nil"/>
        <w:between w:val="nil"/>
      </w:pBdr>
      <w:tabs>
        <w:tab w:val="center" w:pos="4677"/>
        <w:tab w:val="right" w:pos="9355"/>
      </w:tabs>
      <w:spacing w:after="0"/>
      <w:jc w:val="right"/>
      <w:rPr>
        <w:sz w:val="28"/>
        <w:szCs w:val="28"/>
      </w:rPr>
    </w:pPr>
    <w:r>
      <w:fldChar w:fldCharType="begin"/>
    </w:r>
    <w:r>
      <w:instrText>PAGE</w:instrText>
    </w:r>
    <w:r>
      <w:fldChar w:fldCharType="separate"/>
    </w:r>
    <w:r w:rsidR="00C935C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C601" w14:textId="77777777" w:rsidR="002F57C3" w:rsidRDefault="00000000">
    <w:pPr>
      <w:pBdr>
        <w:top w:val="nil"/>
        <w:left w:val="nil"/>
        <w:bottom w:val="nil"/>
        <w:right w:val="nil"/>
        <w:between w:val="nil"/>
      </w:pBdr>
      <w:tabs>
        <w:tab w:val="center" w:pos="4677"/>
        <w:tab w:val="right" w:pos="9355"/>
      </w:tabs>
      <w:spacing w:after="0"/>
      <w:jc w:val="right"/>
      <w:rPr>
        <w:b/>
        <w:color w:val="000000"/>
      </w:rPr>
    </w:pPr>
    <w:r>
      <w:rPr>
        <w:b/>
        <w:color w:val="000000"/>
      </w:rPr>
      <w:t>КОНФИДЕНЦИАЛЬНО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84919"/>
    <w:multiLevelType w:val="multilevel"/>
    <w:tmpl w:val="0FD6D102"/>
    <w:lvl w:ilvl="0">
      <w:start w:val="1"/>
      <w:numFmt w:val="decimal"/>
      <w:lvlText w:val="%1."/>
      <w:lvlJc w:val="left"/>
      <w:pPr>
        <w:ind w:left="566" w:hanging="566"/>
      </w:pPr>
      <w:rPr>
        <w:rFonts w:ascii="Arial" w:eastAsia="Arial" w:hAnsi="Arial" w:cs="Arial"/>
        <w:b/>
        <w:color w:val="000000"/>
        <w:sz w:val="20"/>
        <w:szCs w:val="20"/>
      </w:rPr>
    </w:lvl>
    <w:lvl w:ilvl="1">
      <w:start w:val="1"/>
      <w:numFmt w:val="decimal"/>
      <w:lvlText w:val="%1.%2."/>
      <w:lvlJc w:val="left"/>
      <w:pPr>
        <w:ind w:left="566" w:hanging="566"/>
      </w:pPr>
      <w:rPr>
        <w:b w:val="0"/>
        <w:i w:val="0"/>
        <w:color w:val="000000"/>
        <w:sz w:val="20"/>
        <w:szCs w:val="20"/>
      </w:rPr>
    </w:lvl>
    <w:lvl w:ilvl="2">
      <w:start w:val="1"/>
      <w:numFmt w:val="decimal"/>
      <w:lvlText w:val="%1.%2.%3."/>
      <w:lvlJc w:val="left"/>
      <w:pPr>
        <w:ind w:left="566" w:hanging="566"/>
      </w:pPr>
      <w:rPr>
        <w:b w:val="0"/>
        <w:color w:val="000000"/>
        <w:sz w:val="20"/>
        <w:szCs w:val="20"/>
      </w:rPr>
    </w:lvl>
    <w:lvl w:ilvl="3">
      <w:start w:val="1"/>
      <w:numFmt w:val="decimal"/>
      <w:lvlText w:val="%1.%2.%3.%4."/>
      <w:lvlJc w:val="left"/>
      <w:pPr>
        <w:ind w:left="2509" w:hanging="720"/>
      </w:pPr>
      <w:rPr>
        <w:rFonts w:ascii="Arial" w:eastAsia="Arial" w:hAnsi="Arial" w:cs="Arial"/>
        <w:b w:val="0"/>
      </w:rPr>
    </w:lvl>
    <w:lvl w:ilvl="4">
      <w:start w:val="1"/>
      <w:numFmt w:val="decimal"/>
      <w:lvlText w:val="%1.%2.%3.%4.%5."/>
      <w:lvlJc w:val="left"/>
      <w:pPr>
        <w:ind w:left="3229" w:hanging="1080"/>
      </w:pPr>
      <w:rPr>
        <w:rFonts w:ascii="Arial" w:eastAsia="Arial" w:hAnsi="Arial" w:cs="Arial"/>
        <w:b w:val="0"/>
      </w:rPr>
    </w:lvl>
    <w:lvl w:ilvl="5">
      <w:start w:val="1"/>
      <w:numFmt w:val="decimal"/>
      <w:lvlText w:val="%1.%2.%3.%4.%5.%6."/>
      <w:lvlJc w:val="left"/>
      <w:pPr>
        <w:ind w:left="3589" w:hanging="1080"/>
      </w:pPr>
      <w:rPr>
        <w:b/>
      </w:rPr>
    </w:lvl>
    <w:lvl w:ilvl="6">
      <w:start w:val="1"/>
      <w:numFmt w:val="decimal"/>
      <w:lvlText w:val="%1.%2.%3.%4.%5.%6.%7."/>
      <w:lvlJc w:val="left"/>
      <w:pPr>
        <w:ind w:left="4309" w:hanging="1440"/>
      </w:pPr>
      <w:rPr>
        <w:b/>
      </w:rPr>
    </w:lvl>
    <w:lvl w:ilvl="7">
      <w:start w:val="1"/>
      <w:numFmt w:val="decimal"/>
      <w:lvlText w:val="%1.%2.%3.%4.%5.%6.%7.%8."/>
      <w:lvlJc w:val="left"/>
      <w:pPr>
        <w:ind w:left="4669" w:hanging="1440"/>
      </w:pPr>
      <w:rPr>
        <w:b/>
      </w:rPr>
    </w:lvl>
    <w:lvl w:ilvl="8">
      <w:start w:val="1"/>
      <w:numFmt w:val="decimal"/>
      <w:lvlText w:val="%1.%2.%3.%4.%5.%6.%7.%8.%9."/>
      <w:lvlJc w:val="left"/>
      <w:pPr>
        <w:ind w:left="5389" w:hanging="1800"/>
      </w:pPr>
      <w:rPr>
        <w:b/>
      </w:rPr>
    </w:lvl>
  </w:abstractNum>
  <w:num w:numId="1" w16cid:durableId="210102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C3"/>
    <w:rsid w:val="002F57C3"/>
    <w:rsid w:val="005971E2"/>
    <w:rsid w:val="00647F78"/>
    <w:rsid w:val="006E5A9F"/>
    <w:rsid w:val="00C935C5"/>
    <w:rsid w:val="00CC08B0"/>
    <w:rsid w:val="00EC0050"/>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B0BAE"/>
  <w15:docId w15:val="{4E7F16EB-2DCF-E145-ADD5-69C21D42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tabs>
        <w:tab w:val="left" w:pos="8432"/>
      </w:tabs>
      <w:spacing w:after="240"/>
      <w:ind w:right="-136"/>
      <w:jc w:val="left"/>
      <w:outlineLvl w:val="0"/>
    </w:pPr>
    <w:rPr>
      <w:sz w:val="32"/>
      <w:szCs w:val="32"/>
    </w:rPr>
  </w:style>
  <w:style w:type="paragraph" w:styleId="2">
    <w:name w:val="heading 2"/>
    <w:basedOn w:val="a"/>
    <w:next w:val="a"/>
    <w:uiPriority w:val="9"/>
    <w:semiHidden/>
    <w:unhideWhenUsed/>
    <w:qFormat/>
    <w:pPr>
      <w:keepNext/>
      <w:keepLines/>
      <w:tabs>
        <w:tab w:val="left" w:pos="562"/>
      </w:tabs>
      <w:spacing w:before="200"/>
      <w:ind w:left="566"/>
      <w:outlineLvl w:val="1"/>
    </w:pPr>
    <w:rPr>
      <w:b/>
    </w:rPr>
  </w:style>
  <w:style w:type="paragraph" w:styleId="3">
    <w:name w:val="heading 3"/>
    <w:basedOn w:val="a"/>
    <w:next w:val="a"/>
    <w:uiPriority w:val="9"/>
    <w:semiHidden/>
    <w:unhideWhenUsed/>
    <w:qFormat/>
    <w:pPr>
      <w:keepNext/>
      <w:keepLines/>
      <w:spacing w:after="0" w:line="276" w:lineRule="auto"/>
      <w:outlineLvl w:val="2"/>
    </w:pPr>
  </w:style>
  <w:style w:type="paragraph" w:styleId="4">
    <w:name w:val="heading 4"/>
    <w:basedOn w:val="a"/>
    <w:next w:val="a"/>
    <w:uiPriority w:val="9"/>
    <w:semiHidden/>
    <w:unhideWhenUsed/>
    <w:qFormat/>
    <w:pPr>
      <w:keepNext/>
      <w:keepLines/>
      <w:spacing w:before="280"/>
      <w:outlineLvl w:val="3"/>
    </w:pPr>
    <w:rPr>
      <w:color w:val="666666"/>
      <w:sz w:val="24"/>
      <w:szCs w:val="24"/>
    </w:rPr>
  </w:style>
  <w:style w:type="paragraph" w:styleId="5">
    <w:name w:val="heading 5"/>
    <w:basedOn w:val="a"/>
    <w:next w:val="a"/>
    <w:uiPriority w:val="9"/>
    <w:semiHidden/>
    <w:unhideWhenUsed/>
    <w:qFormat/>
    <w:pPr>
      <w:keepNext/>
      <w:keepLines/>
      <w:spacing w:before="240"/>
      <w:outlineLvl w:val="4"/>
    </w:pPr>
    <w:rPr>
      <w:color w:val="666666"/>
      <w:sz w:val="22"/>
      <w:szCs w:val="22"/>
    </w:rPr>
  </w:style>
  <w:style w:type="paragraph" w:styleId="6">
    <w:name w:val="heading 6"/>
    <w:basedOn w:val="a"/>
    <w:next w:val="a"/>
    <w:uiPriority w:val="9"/>
    <w:semiHidden/>
    <w:unhideWhenUsed/>
    <w:qFormat/>
    <w:pPr>
      <w:keepNext/>
      <w:keepLines/>
      <w:spacing w:before="24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 Тё</cp:lastModifiedBy>
  <cp:revision>4</cp:revision>
  <dcterms:created xsi:type="dcterms:W3CDTF">2022-08-03T14:26:00Z</dcterms:created>
  <dcterms:modified xsi:type="dcterms:W3CDTF">2023-11-10T12:12:00Z</dcterms:modified>
</cp:coreProperties>
</file>